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Pr="00876FF9" w:rsidRDefault="005246B5" w:rsidP="005246B5">
      <w:pPr>
        <w:jc w:val="center"/>
        <w:rPr>
          <w:rFonts w:ascii="Meta" w:hAnsi="Meta"/>
          <w:sz w:val="36"/>
          <w:szCs w:val="36"/>
        </w:rPr>
      </w:pPr>
      <w:r w:rsidRPr="00876FF9">
        <w:rPr>
          <w:rFonts w:ascii="Meta" w:hAnsi="Meta"/>
          <w:sz w:val="36"/>
          <w:szCs w:val="36"/>
        </w:rPr>
        <w:t xml:space="preserve">Einladung </w:t>
      </w:r>
    </w:p>
    <w:p w14:paraId="7F311C5F" w14:textId="765B41CC" w:rsidR="005246B5" w:rsidRPr="00876FF9" w:rsidRDefault="005246B5" w:rsidP="005246B5">
      <w:pPr>
        <w:jc w:val="center"/>
        <w:rPr>
          <w:rFonts w:ascii="Meta" w:hAnsi="Meta"/>
          <w:sz w:val="36"/>
          <w:szCs w:val="36"/>
        </w:rPr>
      </w:pPr>
      <w:r w:rsidRPr="00876FF9">
        <w:rPr>
          <w:rFonts w:ascii="Meta" w:hAnsi="Meta"/>
          <w:sz w:val="36"/>
          <w:szCs w:val="36"/>
        </w:rPr>
        <w:t xml:space="preserve">zum </w:t>
      </w:r>
      <w:r w:rsidR="00EE6B9A" w:rsidRPr="00876FF9">
        <w:rPr>
          <w:rFonts w:ascii="Meta" w:hAnsi="Meta"/>
          <w:sz w:val="36"/>
          <w:szCs w:val="36"/>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64C98C8E" w:rsidR="00574576" w:rsidRDefault="005246B5" w:rsidP="00574576">
      <w:pPr>
        <w:jc w:val="center"/>
        <w:rPr>
          <w:rFonts w:ascii="Meta" w:hAnsi="Meta"/>
          <w:sz w:val="24"/>
          <w:szCs w:val="21"/>
        </w:rPr>
      </w:pPr>
      <w:r w:rsidRPr="00574576">
        <w:rPr>
          <w:rFonts w:ascii="Meta" w:hAnsi="Meta"/>
          <w:sz w:val="24"/>
          <w:szCs w:val="21"/>
        </w:rPr>
        <w:t xml:space="preserve">Am </w:t>
      </w:r>
      <w:r w:rsidR="00EE6B9A">
        <w:rPr>
          <w:rFonts w:ascii="Meta" w:hAnsi="Meta"/>
          <w:sz w:val="24"/>
          <w:szCs w:val="21"/>
        </w:rPr>
        <w:t xml:space="preserve">Dienstag, dem </w:t>
      </w:r>
      <w:r w:rsidR="00876FF9">
        <w:rPr>
          <w:rFonts w:ascii="Meta" w:hAnsi="Meta"/>
          <w:sz w:val="24"/>
          <w:szCs w:val="21"/>
        </w:rPr>
        <w:t>02. Mai 2017</w:t>
      </w:r>
      <w:r w:rsidRPr="00574576">
        <w:rPr>
          <w:rFonts w:ascii="Meta" w:hAnsi="Meta"/>
          <w:sz w:val="24"/>
          <w:szCs w:val="21"/>
        </w:rPr>
        <w:t xml:space="preserve">, um </w:t>
      </w:r>
      <w:r w:rsidR="00EE6B9A">
        <w:rPr>
          <w:rFonts w:ascii="Meta" w:hAnsi="Meta"/>
          <w:sz w:val="24"/>
          <w:szCs w:val="21"/>
        </w:rPr>
        <w:t>17:00</w:t>
      </w:r>
      <w:r w:rsidRPr="00574576">
        <w:rPr>
          <w:rFonts w:ascii="Meta" w:hAnsi="Meta"/>
          <w:sz w:val="24"/>
          <w:szCs w:val="21"/>
        </w:rPr>
        <w:t xml:space="preserve"> Uhr (c.t.)</w:t>
      </w:r>
    </w:p>
    <w:p w14:paraId="30AFD513" w14:textId="3A11D549" w:rsidR="005246B5" w:rsidRPr="00574576" w:rsidRDefault="00EE6B9A" w:rsidP="00574576">
      <w:pPr>
        <w:jc w:val="center"/>
        <w:rPr>
          <w:rFonts w:ascii="Meta" w:hAnsi="Meta"/>
          <w:sz w:val="24"/>
          <w:szCs w:val="21"/>
        </w:rPr>
      </w:pPr>
      <w:r>
        <w:rPr>
          <w:rFonts w:ascii="Meta" w:hAnsi="Meta"/>
          <w:sz w:val="24"/>
          <w:szCs w:val="21"/>
        </w:rPr>
        <w:t>im Hörsaal M5, Einsteinstraße 64, Münster</w:t>
      </w:r>
    </w:p>
    <w:p w14:paraId="648E177D" w14:textId="77777777" w:rsidR="005246B5" w:rsidRPr="00574576" w:rsidRDefault="005246B5" w:rsidP="00A63CF8">
      <w:pPr>
        <w:rPr>
          <w:rFonts w:ascii="Meta" w:hAnsi="Meta"/>
          <w:sz w:val="24"/>
          <w:szCs w:val="21"/>
        </w:rPr>
      </w:pPr>
    </w:p>
    <w:p w14:paraId="2BEA79E3" w14:textId="140D1E6A" w:rsidR="005246B5" w:rsidRPr="00574576" w:rsidRDefault="005246B5" w:rsidP="005246B5">
      <w:pPr>
        <w:jc w:val="center"/>
        <w:rPr>
          <w:rFonts w:ascii="Meta" w:hAnsi="Meta"/>
          <w:sz w:val="24"/>
          <w:szCs w:val="21"/>
        </w:rPr>
      </w:pPr>
      <w:r w:rsidRPr="00574576">
        <w:rPr>
          <w:rFonts w:ascii="Meta" w:hAnsi="Meta"/>
          <w:sz w:val="24"/>
          <w:szCs w:val="21"/>
        </w:rPr>
        <w:t>spricht</w:t>
      </w:r>
    </w:p>
    <w:p w14:paraId="5D52B4E2" w14:textId="77777777" w:rsidR="005246B5" w:rsidRDefault="005246B5" w:rsidP="005246B5">
      <w:pPr>
        <w:jc w:val="center"/>
        <w:rPr>
          <w:rFonts w:ascii="Meta" w:hAnsi="Meta"/>
          <w:sz w:val="21"/>
          <w:szCs w:val="21"/>
        </w:rPr>
      </w:pPr>
    </w:p>
    <w:p w14:paraId="67504FC5" w14:textId="5E2FF2B4" w:rsidR="005246B5" w:rsidRPr="00876FF9" w:rsidRDefault="00876FF9" w:rsidP="005246B5">
      <w:pPr>
        <w:jc w:val="center"/>
        <w:rPr>
          <w:rFonts w:ascii="Meta" w:hAnsi="Meta"/>
          <w:sz w:val="32"/>
          <w:szCs w:val="32"/>
        </w:rPr>
      </w:pPr>
      <w:r w:rsidRPr="00876FF9">
        <w:rPr>
          <w:rFonts w:ascii="Meta" w:hAnsi="Meta"/>
          <w:sz w:val="32"/>
          <w:szCs w:val="32"/>
        </w:rPr>
        <w:t>Prof. Dr. Hans-Georg Weigand</w:t>
      </w:r>
    </w:p>
    <w:p w14:paraId="7EF5AF46" w14:textId="77777777" w:rsidR="00743E17" w:rsidRPr="00876FF9" w:rsidRDefault="00743E17" w:rsidP="00876FF9">
      <w:pPr>
        <w:rPr>
          <w:rFonts w:ascii="Meta" w:hAnsi="Meta"/>
          <w:sz w:val="24"/>
          <w:szCs w:val="24"/>
        </w:rPr>
      </w:pPr>
    </w:p>
    <w:p w14:paraId="36A44D29" w14:textId="08C13F33" w:rsidR="005246B5" w:rsidRPr="00876FF9" w:rsidRDefault="005246B5" w:rsidP="005246B5">
      <w:pPr>
        <w:rPr>
          <w:rFonts w:ascii="Meta" w:hAnsi="Meta"/>
          <w:sz w:val="24"/>
          <w:szCs w:val="24"/>
        </w:rPr>
      </w:pPr>
    </w:p>
    <w:p w14:paraId="597492E8" w14:textId="7191F7DF" w:rsidR="005D3A78" w:rsidRPr="00876FF9" w:rsidRDefault="00876FF9" w:rsidP="00876FF9">
      <w:pPr>
        <w:rPr>
          <w:rFonts w:ascii="Meta" w:hAnsi="Meta"/>
          <w:b/>
          <w:color w:val="4F81BD" w:themeColor="accent1"/>
          <w:sz w:val="24"/>
          <w:szCs w:val="24"/>
        </w:rPr>
      </w:pPr>
      <w:r w:rsidRPr="00876FF9">
        <w:rPr>
          <w:rFonts w:ascii="Meta" w:hAnsi="Meta"/>
          <w:b/>
          <w:color w:val="4F81BD" w:themeColor="accent1"/>
          <w:sz w:val="24"/>
          <w:szCs w:val="24"/>
        </w:rPr>
        <w:t>Rettet die Kegelschnitte – Argumente für eine (digitale) Wiederbelebung eines in der Bildungs- und Kompetenzlandschaft vergessenen Themas der Geometrie</w:t>
      </w:r>
    </w:p>
    <w:p w14:paraId="49D18006" w14:textId="07DF1DE7" w:rsidR="005D3A78" w:rsidRPr="00876FF9" w:rsidRDefault="005D3A78" w:rsidP="005D3A78">
      <w:pPr>
        <w:rPr>
          <w:rFonts w:ascii="Meta" w:hAnsi="Meta"/>
          <w:color w:val="4F81BD" w:themeColor="accent1"/>
          <w:sz w:val="24"/>
          <w:szCs w:val="24"/>
        </w:rPr>
      </w:pPr>
    </w:p>
    <w:p w14:paraId="158ACC03" w14:textId="5219BD04" w:rsidR="00876FF9" w:rsidRPr="00876FF9" w:rsidRDefault="00876FF9" w:rsidP="00876FF9">
      <w:pPr>
        <w:rPr>
          <w:rFonts w:ascii="Meta" w:hAnsi="Meta"/>
          <w:color w:val="4F81BD" w:themeColor="accent1"/>
          <w:sz w:val="24"/>
          <w:szCs w:val="24"/>
        </w:rPr>
      </w:pPr>
      <w:r w:rsidRPr="00876FF9">
        <w:rPr>
          <w:rFonts w:ascii="Meta" w:hAnsi="Meta"/>
          <w:color w:val="4F81BD" w:themeColor="accent1"/>
          <w:sz w:val="24"/>
          <w:szCs w:val="24"/>
        </w:rPr>
        <w:t>In einer über 2000-jährigen Entwicklungsgeschichte stellten Kegelschnitte immer wieder geometrische Objekte mit vielfältigen Eigenschaften, einer reichhaltigen Struktur und zahlreichen Konstruktionsmöglichkeiten dar. Sie treten in vielen Umweltsituationen auf, besitzen ein hohes heuristische Potenzial und verknüpfen viele mathematische Teilgebiete wie Elementargeometrie, Analytische Geometrie und Analysis. Bis zu den 1960er Jahren gehörte die Behandlung der Kegelschnitte zu den obligatorischen Inhalten des Mathematikunterrichts am Gymnasium. Heute sind sie – aus unterschiedlichen Gründen – weitgehend als eigenständige Objekte aus dem Schulunterricht verschwunden, obwohl sie an vielen Stellen im Mathematikunterricht – implizit – auftreten, etwa bei antiproportionalen und quadratischen Funktionen oder bei Schrägbilddarstellungen. Mit Hilfe digitaler Technologien lässt sich heute zum einen die historische Entwicklung dieser Kurven in einer neuen Art und Weise (nach)erleben, zum anderen bietet gerade das Thema Kegelschnitte die Möglichkeit einer konstruktiven Auseinandersetzung mit zentralen Bildungsziele des Mathematikunterrichts. In dem Vortrag wird die Aktualität der Kegelschnitte im unter didaktischen und methodischen Gesichtspunkten diskutiert.</w:t>
      </w:r>
      <w:bookmarkStart w:id="0" w:name="_GoBack"/>
      <w:bookmarkEnd w:id="0"/>
    </w:p>
    <w:sectPr w:rsidR="00876FF9" w:rsidRPr="00876FF9" w:rsidSect="00011437">
      <w:headerReference w:type="even" r:id="rId7"/>
      <w:headerReference w:type="default" r:id="rId8"/>
      <w:footerReference w:type="even" r:id="rId9"/>
      <w:footerReference w:type="default" r:id="rId10"/>
      <w:headerReference w:type="first" r:id="rId11"/>
      <w:footerReference w:type="first" r:id="rId12"/>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2318" w14:textId="77777777" w:rsidR="00BF2559" w:rsidRDefault="00BF2559">
      <w:r>
        <w:separator/>
      </w:r>
    </w:p>
  </w:endnote>
  <w:endnote w:type="continuationSeparator" w:id="0">
    <w:p w14:paraId="6E8D80DE" w14:textId="77777777" w:rsidR="00BF2559" w:rsidRDefault="00B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0F2" w14:textId="77777777" w:rsidR="005D3A78" w:rsidRDefault="005D3A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4C9F" w14:textId="77777777" w:rsidR="005D3A78" w:rsidRDefault="005D3A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124E" w14:textId="77777777" w:rsidR="00553B76" w:rsidRDefault="00553B76" w:rsidP="00553B76">
    <w:pPr>
      <w:spacing w:line="300" w:lineRule="auto"/>
      <w:jc w:val="center"/>
      <w:rPr>
        <w:rFonts w:ascii="Times New Roman" w:hAnsi="Times New Roman" w:cs="Times New Roman"/>
        <w:color w:val="5B5854"/>
        <w:kern w:val="28"/>
        <w:sz w:val="18"/>
        <w:szCs w:val="18"/>
        <w14:cntxtAlts/>
      </w:rPr>
    </w:pPr>
  </w:p>
  <w:p w14:paraId="4ACE463B" w14:textId="0F6DF400" w:rsidR="00553B76" w:rsidRPr="00553B76" w:rsidRDefault="00553B76" w:rsidP="00553B76">
    <w:pPr>
      <w:spacing w:line="300" w:lineRule="auto"/>
      <w:jc w:val="center"/>
      <w:rPr>
        <w:rFonts w:ascii="Times New Roman" w:hAnsi="Times New Roman" w:cs="Times New Roman"/>
        <w:color w:val="5B5854"/>
        <w:kern w:val="28"/>
        <w:sz w:val="18"/>
        <w:szCs w:val="18"/>
        <w14:cntxtAlts/>
      </w:rPr>
    </w:pPr>
    <w:r w:rsidRPr="00553B76">
      <w:rPr>
        <w:rFonts w:ascii="Times New Roman" w:hAnsi="Times New Roman" w:cs="Times New Roman"/>
        <w:color w:val="5B5854"/>
        <w:kern w:val="28"/>
        <w:sz w:val="18"/>
        <w:szCs w:val="18"/>
        <w14:cntxtAlts/>
      </w:rPr>
      <w:t xml:space="preserve">Das Heinrich-Behnke-Seminar </w:t>
    </w:r>
    <w:r w:rsidRPr="00553B76">
      <w:rPr>
        <w:rFonts w:ascii="Times New Roman" w:hAnsi="Times New Roman" w:cs="Times New Roman"/>
        <w:color w:val="5B5854"/>
        <w:kern w:val="28"/>
        <w:sz w:val="18"/>
        <w:szCs w:val="18"/>
        <w14:cntxtAlts/>
      </w:rPr>
      <w:br/>
      <w:t xml:space="preserve">lädt alle Lehrenden an Schulen und Hochschulen sowie alle </w:t>
    </w:r>
    <w:r w:rsidRPr="00553B76">
      <w:rPr>
        <w:rFonts w:ascii="Times New Roman" w:hAnsi="Times New Roman" w:cs="Times New Roman"/>
        <w:color w:val="5B5854"/>
        <w:kern w:val="28"/>
        <w:sz w:val="18"/>
        <w:szCs w:val="18"/>
        <w14:cntxtAlts/>
      </w:rPr>
      <w:br/>
      <w:t xml:space="preserve">Studierenden der Mathematik zur Teilnahme am Kolloquium </w:t>
    </w:r>
    <w:r w:rsidRPr="00553B76">
      <w:rPr>
        <w:rFonts w:ascii="Times New Roman" w:hAnsi="Times New Roman" w:cs="Times New Roman"/>
        <w:color w:val="5B5854"/>
        <w:kern w:val="28"/>
        <w:sz w:val="18"/>
        <w:szCs w:val="18"/>
        <w14:cntxtAlts/>
      </w:rPr>
      <w:br/>
      <w:t>über Geschichte un</w:t>
    </w:r>
    <w:r w:rsidR="00196EEB">
      <w:rPr>
        <w:rFonts w:ascii="Times New Roman" w:hAnsi="Times New Roman" w:cs="Times New Roman"/>
        <w:color w:val="5B5854"/>
        <w:kern w:val="28"/>
        <w:sz w:val="18"/>
        <w:szCs w:val="18"/>
        <w14:cntxtAlts/>
      </w:rPr>
      <w:t>d Didaktik der Mathematik ein</w:t>
    </w:r>
    <w:r w:rsidRPr="00553B76">
      <w:rPr>
        <w:rFonts w:ascii="Times New Roman" w:hAnsi="Times New Roman" w:cs="Times New Roman"/>
        <w:color w:val="5B5854"/>
        <w:kern w:val="28"/>
        <w:sz w:val="18"/>
        <w:szCs w:val="18"/>
        <w14:cntxtAlts/>
      </w:rPr>
      <w:t>.</w:t>
    </w:r>
  </w:p>
  <w:p w14:paraId="54228A03"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14:cntxtAlts/>
      </w:rPr>
      <w:t> </w:t>
    </w:r>
  </w:p>
  <w:p w14:paraId="27F40E71"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lang w:val="en-US"/>
        <w14:cntxtAlts/>
      </w:rPr>
    </w:pPr>
    <w:r w:rsidRPr="00553B76">
      <w:rPr>
        <w:rFonts w:ascii="Times New Roman" w:hAnsi="Times New Roman" w:cs="Times New Roman"/>
        <w:color w:val="5B5854"/>
        <w:kern w:val="28"/>
        <w:sz w:val="18"/>
        <w:szCs w:val="18"/>
        <w:lang w:val="en-US"/>
        <w14:cntxtAlts/>
      </w:rPr>
      <w:t xml:space="preserve">Prof. Dr. G. </w:t>
    </w:r>
    <w:proofErr w:type="spellStart"/>
    <w:r w:rsidRPr="00553B76">
      <w:rPr>
        <w:rFonts w:ascii="Times New Roman" w:hAnsi="Times New Roman" w:cs="Times New Roman"/>
        <w:color w:val="5B5854"/>
        <w:kern w:val="28"/>
        <w:sz w:val="18"/>
        <w:szCs w:val="18"/>
        <w:lang w:val="en-US"/>
        <w14:cntxtAlts/>
      </w:rPr>
      <w:t>Greefrath</w:t>
    </w:r>
    <w:proofErr w:type="spellEnd"/>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StD</w:t>
    </w:r>
    <w:proofErr w:type="spellEnd"/>
    <w:r w:rsidRPr="00553B76">
      <w:rPr>
        <w:rFonts w:ascii="Times New Roman" w:hAnsi="Times New Roman" w:cs="Times New Roman"/>
        <w:color w:val="5B5854"/>
        <w:kern w:val="28"/>
        <w:sz w:val="18"/>
        <w:szCs w:val="18"/>
        <w:lang w:val="en-US"/>
        <w14:cntxtAlts/>
      </w:rPr>
      <w:t xml:space="preserve"> W. Hack</w:t>
    </w:r>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Apl</w:t>
    </w:r>
    <w:proofErr w:type="spellEnd"/>
    <w:r w:rsidRPr="00553B76">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Prof. Dr. M. Joachim</w:t>
    </w:r>
    <w:r w:rsidR="001E06FB" w:rsidRPr="00196EEB">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 xml:space="preserve">Prof. Dr. M. </w:t>
    </w:r>
    <w:proofErr w:type="spellStart"/>
    <w:r w:rsidRPr="00196EEB">
      <w:rPr>
        <w:rFonts w:ascii="Times New Roman" w:hAnsi="Times New Roman" w:cs="Times New Roman"/>
        <w:color w:val="5B5854"/>
        <w:kern w:val="28"/>
        <w:sz w:val="18"/>
        <w:szCs w:val="18"/>
        <w:lang w:val="en-US"/>
        <w14:cntxtAlts/>
      </w:rPr>
      <w:t>Löwe</w:t>
    </w:r>
    <w:proofErr w:type="spellEnd"/>
    <w:r w:rsidRPr="00196EEB">
      <w:rPr>
        <w:rFonts w:ascii="Times New Roman" w:hAnsi="Times New Roman" w:cs="Times New Roman"/>
        <w:color w:val="5B5854"/>
        <w:kern w:val="28"/>
        <w:sz w:val="18"/>
        <w:szCs w:val="18"/>
        <w:lang w:val="en-US"/>
        <w14:cntxtAlts/>
      </w:rPr>
      <w:t xml:space="preserve">, </w:t>
    </w:r>
  </w:p>
  <w:p w14:paraId="08F9EEAC" w14:textId="5B0DF765" w:rsidR="00553B76" w:rsidRPr="00553B76" w:rsidRDefault="001E06FB" w:rsidP="001E06FB">
    <w:pPr>
      <w:spacing w:line="300" w:lineRule="auto"/>
      <w:ind w:left="2124"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lang w:val="en-US"/>
        <w14:cntxtAlts/>
      </w:rPr>
      <w:t xml:space="preserve">  </w:t>
    </w:r>
    <w:r w:rsidR="00553B76" w:rsidRPr="00553B76">
      <w:rPr>
        <w:rFonts w:ascii="Times New Roman" w:hAnsi="Times New Roman" w:cs="Times New Roman"/>
        <w:color w:val="5B5854"/>
        <w:kern w:val="28"/>
        <w:sz w:val="18"/>
        <w:szCs w:val="18"/>
        <w14:cntxtAlts/>
      </w:rPr>
      <w:t>Prof. Dr. F. Lorenz</w:t>
    </w:r>
    <w:r w:rsidR="00553B76">
      <w:rPr>
        <w:rFonts w:ascii="Times New Roman" w:hAnsi="Times New Roman" w:cs="Times New Roman"/>
        <w:color w:val="5B5854"/>
        <w:kern w:val="28"/>
        <w:sz w:val="18"/>
        <w:szCs w:val="18"/>
        <w14:cntxtAlts/>
      </w:rPr>
      <w:t xml:space="preserve">, </w:t>
    </w:r>
    <w:r w:rsidR="00553B76" w:rsidRPr="00553B76">
      <w:rPr>
        <w:rFonts w:ascii="Times New Roman" w:hAnsi="Times New Roman" w:cs="Times New Roman"/>
        <w:color w:val="5B5854"/>
        <w:kern w:val="28"/>
        <w:sz w:val="18"/>
        <w:szCs w:val="18"/>
        <w14:cntxtAlts/>
      </w:rPr>
      <w:t>Prof. Dr. M. Stein</w:t>
    </w:r>
  </w:p>
  <w:p w14:paraId="7745EBD6" w14:textId="77777777" w:rsidR="00553B76" w:rsidRPr="00553B76" w:rsidRDefault="00553B76" w:rsidP="00553B76">
    <w:pPr>
      <w:widowControl w:val="0"/>
      <w:spacing w:line="300" w:lineRule="auto"/>
      <w:jc w:val="left"/>
      <w:rPr>
        <w:rFonts w:ascii="MetaNormal-Roman" w:hAnsi="MetaNormal-Roman" w:cs="Times New Roman"/>
        <w:color w:val="5B5854"/>
        <w:kern w:val="28"/>
        <w:sz w:val="18"/>
        <w:szCs w:val="18"/>
        <w14:cntxtAlts/>
      </w:rPr>
    </w:pPr>
    <w:r w:rsidRPr="00553B76">
      <w:rPr>
        <w:rFonts w:ascii="MetaNormal-Roman" w:hAnsi="MetaNormal-Roman" w:cs="Times New Roman"/>
        <w:color w:val="5B5854"/>
        <w:kern w:val="28"/>
        <w:sz w:val="18"/>
        <w:szCs w:val="18"/>
        <w14:cntxtAlts/>
      </w:rPr>
      <w:t> </w:t>
    </w:r>
  </w:p>
  <w:p w14:paraId="65A89A18" w14:textId="5A3DFA54" w:rsidR="00553B76" w:rsidRDefault="00553B76">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739B" w14:textId="77777777" w:rsidR="00BF2559" w:rsidRDefault="00BF2559">
      <w:r>
        <w:separator/>
      </w:r>
    </w:p>
  </w:footnote>
  <w:footnote w:type="continuationSeparator" w:id="0">
    <w:p w14:paraId="30934D74" w14:textId="77777777" w:rsidR="00BF2559" w:rsidRDefault="00B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8044" w14:textId="77777777" w:rsidR="005D3A78" w:rsidRDefault="005D3A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F5B2" w14:textId="77777777" w:rsidR="005D3A78" w:rsidRDefault="005D3A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0"/>
    <w:rsid w:val="00011437"/>
    <w:rsid w:val="00013B7E"/>
    <w:rsid w:val="000148A5"/>
    <w:rsid w:val="0002236E"/>
    <w:rsid w:val="00025086"/>
    <w:rsid w:val="00027D1B"/>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96EEB"/>
    <w:rsid w:val="001A5C40"/>
    <w:rsid w:val="001B24A0"/>
    <w:rsid w:val="001B3D83"/>
    <w:rsid w:val="001B772C"/>
    <w:rsid w:val="001E06FB"/>
    <w:rsid w:val="001E1C04"/>
    <w:rsid w:val="00236C36"/>
    <w:rsid w:val="00260EAE"/>
    <w:rsid w:val="00264652"/>
    <w:rsid w:val="002659F0"/>
    <w:rsid w:val="0027629F"/>
    <w:rsid w:val="002764EA"/>
    <w:rsid w:val="00276FE3"/>
    <w:rsid w:val="00284388"/>
    <w:rsid w:val="00292604"/>
    <w:rsid w:val="002A4B38"/>
    <w:rsid w:val="002C6229"/>
    <w:rsid w:val="002C79DC"/>
    <w:rsid w:val="002D620F"/>
    <w:rsid w:val="00307E66"/>
    <w:rsid w:val="00332E94"/>
    <w:rsid w:val="0035617D"/>
    <w:rsid w:val="00361F98"/>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A6454"/>
    <w:rsid w:val="004A7091"/>
    <w:rsid w:val="004C1041"/>
    <w:rsid w:val="004D4694"/>
    <w:rsid w:val="004D5CE3"/>
    <w:rsid w:val="004E2CC5"/>
    <w:rsid w:val="00507760"/>
    <w:rsid w:val="005123BB"/>
    <w:rsid w:val="00522D9F"/>
    <w:rsid w:val="005246B5"/>
    <w:rsid w:val="00553B76"/>
    <w:rsid w:val="005542CD"/>
    <w:rsid w:val="00574576"/>
    <w:rsid w:val="005951C7"/>
    <w:rsid w:val="005A327D"/>
    <w:rsid w:val="005B2379"/>
    <w:rsid w:val="005D3A78"/>
    <w:rsid w:val="005E7DE9"/>
    <w:rsid w:val="00601915"/>
    <w:rsid w:val="0061027E"/>
    <w:rsid w:val="00613887"/>
    <w:rsid w:val="006173E9"/>
    <w:rsid w:val="0062680A"/>
    <w:rsid w:val="00644DD8"/>
    <w:rsid w:val="00694FB1"/>
    <w:rsid w:val="006A2137"/>
    <w:rsid w:val="006A2ACC"/>
    <w:rsid w:val="006A335C"/>
    <w:rsid w:val="006C3846"/>
    <w:rsid w:val="006D731C"/>
    <w:rsid w:val="006E5513"/>
    <w:rsid w:val="006E5BFD"/>
    <w:rsid w:val="00705BAD"/>
    <w:rsid w:val="0071595D"/>
    <w:rsid w:val="00731E91"/>
    <w:rsid w:val="00743E17"/>
    <w:rsid w:val="00781635"/>
    <w:rsid w:val="00786EB4"/>
    <w:rsid w:val="00794641"/>
    <w:rsid w:val="007A04D8"/>
    <w:rsid w:val="007A30B1"/>
    <w:rsid w:val="007A6D95"/>
    <w:rsid w:val="007A7748"/>
    <w:rsid w:val="007B6784"/>
    <w:rsid w:val="007B7CB2"/>
    <w:rsid w:val="007C785B"/>
    <w:rsid w:val="007E0130"/>
    <w:rsid w:val="007E553E"/>
    <w:rsid w:val="008063AB"/>
    <w:rsid w:val="00815903"/>
    <w:rsid w:val="00815BF1"/>
    <w:rsid w:val="00842F86"/>
    <w:rsid w:val="008510D8"/>
    <w:rsid w:val="00852855"/>
    <w:rsid w:val="00854F24"/>
    <w:rsid w:val="00863927"/>
    <w:rsid w:val="00876FF9"/>
    <w:rsid w:val="008775AC"/>
    <w:rsid w:val="008819D7"/>
    <w:rsid w:val="00885460"/>
    <w:rsid w:val="008972B9"/>
    <w:rsid w:val="008D6FA7"/>
    <w:rsid w:val="008F7F74"/>
    <w:rsid w:val="009007A2"/>
    <w:rsid w:val="0090260B"/>
    <w:rsid w:val="00965DBC"/>
    <w:rsid w:val="00984E6E"/>
    <w:rsid w:val="009B390C"/>
    <w:rsid w:val="009D30EC"/>
    <w:rsid w:val="009E0341"/>
    <w:rsid w:val="009E3703"/>
    <w:rsid w:val="009F0915"/>
    <w:rsid w:val="00A11F9D"/>
    <w:rsid w:val="00A45AB5"/>
    <w:rsid w:val="00A45EB0"/>
    <w:rsid w:val="00A63CF8"/>
    <w:rsid w:val="00A66BE9"/>
    <w:rsid w:val="00A754C0"/>
    <w:rsid w:val="00A95A3A"/>
    <w:rsid w:val="00AA1077"/>
    <w:rsid w:val="00AB2FBA"/>
    <w:rsid w:val="00AD19E2"/>
    <w:rsid w:val="00AD2221"/>
    <w:rsid w:val="00B304A6"/>
    <w:rsid w:val="00B66D6B"/>
    <w:rsid w:val="00B87138"/>
    <w:rsid w:val="00BA250B"/>
    <w:rsid w:val="00BA3069"/>
    <w:rsid w:val="00BC1C08"/>
    <w:rsid w:val="00BD1E2E"/>
    <w:rsid w:val="00BD7AD8"/>
    <w:rsid w:val="00BE0BB4"/>
    <w:rsid w:val="00BE401E"/>
    <w:rsid w:val="00BF2559"/>
    <w:rsid w:val="00BF749E"/>
    <w:rsid w:val="00C01C64"/>
    <w:rsid w:val="00C2307D"/>
    <w:rsid w:val="00C63044"/>
    <w:rsid w:val="00C67422"/>
    <w:rsid w:val="00C74801"/>
    <w:rsid w:val="00CA0BC4"/>
    <w:rsid w:val="00CA3635"/>
    <w:rsid w:val="00CE3F79"/>
    <w:rsid w:val="00CE7E0E"/>
    <w:rsid w:val="00D40E87"/>
    <w:rsid w:val="00D41347"/>
    <w:rsid w:val="00D475A2"/>
    <w:rsid w:val="00D61691"/>
    <w:rsid w:val="00D72CC8"/>
    <w:rsid w:val="00D85A1E"/>
    <w:rsid w:val="00D93A79"/>
    <w:rsid w:val="00DD6251"/>
    <w:rsid w:val="00DD6CC4"/>
    <w:rsid w:val="00DE3EED"/>
    <w:rsid w:val="00E10865"/>
    <w:rsid w:val="00E155EC"/>
    <w:rsid w:val="00E170D0"/>
    <w:rsid w:val="00E17A29"/>
    <w:rsid w:val="00E24350"/>
    <w:rsid w:val="00E558DC"/>
    <w:rsid w:val="00E76B93"/>
    <w:rsid w:val="00EC5502"/>
    <w:rsid w:val="00ED0FD0"/>
    <w:rsid w:val="00EE6B9A"/>
    <w:rsid w:val="00F057E0"/>
    <w:rsid w:val="00F244AC"/>
    <w:rsid w:val="00F264A0"/>
    <w:rsid w:val="00F563C7"/>
    <w:rsid w:val="00F57F3E"/>
    <w:rsid w:val="00F72050"/>
    <w:rsid w:val="00FA2C59"/>
    <w:rsid w:val="00FB34F4"/>
    <w:rsid w:val="00FC0498"/>
    <w:rsid w:val="00FD1C6C"/>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6814FA"/>
  <w15:docId w15:val="{8E11450D-F398-46A2-942B-4750390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5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3</cp:revision>
  <cp:lastPrinted>2008-05-26T08:37:00Z</cp:lastPrinted>
  <dcterms:created xsi:type="dcterms:W3CDTF">2017-03-16T10:05:00Z</dcterms:created>
  <dcterms:modified xsi:type="dcterms:W3CDTF">2017-03-16T10:07:00Z</dcterms:modified>
</cp:coreProperties>
</file>